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707" w:rsidRDefault="00C04707" w:rsidP="002D5C92">
      <w:pPr>
        <w:pStyle w:val="Default"/>
        <w:ind w:left="-851" w:right="-1050"/>
        <w:rPr>
          <w:rFonts w:ascii="Arial" w:hAnsi="Arial" w:cs="Arial"/>
          <w:b/>
          <w:iCs/>
        </w:rPr>
      </w:pPr>
      <w:r>
        <w:rPr>
          <w:rFonts w:ascii="Arial" w:hAnsi="Arial" w:cs="Arial"/>
          <w:b/>
          <w:iCs/>
        </w:rPr>
        <w:t>ΒΙΒΛΙΟ ΑΠΟΘΗΚΗΣ (άρθρα 4, 5 και 6 του Ν. 4308/2014)</w:t>
      </w:r>
    </w:p>
    <w:p w:rsidR="00C04707" w:rsidRDefault="00C04707" w:rsidP="002D5C92">
      <w:pPr>
        <w:pStyle w:val="Default"/>
        <w:ind w:left="-851" w:right="-1050"/>
        <w:rPr>
          <w:rFonts w:ascii="Arial" w:hAnsi="Arial" w:cs="Arial"/>
          <w:b/>
          <w:iCs/>
        </w:rPr>
      </w:pPr>
    </w:p>
    <w:p w:rsidR="006534E1" w:rsidRPr="006534E1" w:rsidRDefault="006534E1" w:rsidP="002D5C92">
      <w:pPr>
        <w:pStyle w:val="Default"/>
        <w:ind w:left="-851" w:right="-1050"/>
        <w:rPr>
          <w:rFonts w:ascii="Arial" w:hAnsi="Arial" w:cs="Arial"/>
          <w:b/>
          <w:iCs/>
        </w:rPr>
      </w:pPr>
      <w:r w:rsidRPr="006534E1">
        <w:rPr>
          <w:rFonts w:ascii="Arial" w:hAnsi="Arial" w:cs="Arial"/>
          <w:b/>
          <w:iCs/>
        </w:rPr>
        <w:t>Υποχρέωση τήρησης βιβλίου αποθήκης</w:t>
      </w:r>
    </w:p>
    <w:p w:rsidR="006534E1" w:rsidRDefault="006534E1" w:rsidP="002D5C92">
      <w:pPr>
        <w:pStyle w:val="Default"/>
        <w:ind w:left="-851" w:right="-1050"/>
        <w:rPr>
          <w:rFonts w:ascii="Arial" w:hAnsi="Arial" w:cs="Arial"/>
          <w:iCs/>
        </w:rPr>
      </w:pPr>
    </w:p>
    <w:p w:rsidR="00457B22" w:rsidRPr="001A3386" w:rsidRDefault="002D5C92" w:rsidP="002D5C92">
      <w:pPr>
        <w:pStyle w:val="Default"/>
        <w:ind w:left="-851" w:right="-1050"/>
        <w:rPr>
          <w:rFonts w:ascii="Arial" w:hAnsi="Arial" w:cs="Arial"/>
        </w:rPr>
      </w:pPr>
      <w:r>
        <w:rPr>
          <w:rFonts w:ascii="Arial" w:hAnsi="Arial" w:cs="Arial"/>
          <w:iCs/>
        </w:rPr>
        <w:t>Από τον Ν. 4308/2014 δ</w:t>
      </w:r>
      <w:r w:rsidR="00457B22" w:rsidRPr="001A3386">
        <w:rPr>
          <w:rFonts w:ascii="Arial" w:hAnsi="Arial" w:cs="Arial"/>
          <w:iCs/>
        </w:rPr>
        <w:t xml:space="preserve">εν ορίζεται ρητά η υποχρέωση τήρησης βιβλίου αποθήκης. Εμμέσως </w:t>
      </w:r>
      <w:r>
        <w:rPr>
          <w:rFonts w:ascii="Arial" w:hAnsi="Arial" w:cs="Arial"/>
          <w:iCs/>
        </w:rPr>
        <w:t>όμως (σύμφωνα με το άρθρο 4 του νόμου)</w:t>
      </w:r>
      <w:r w:rsidR="00457B22" w:rsidRPr="001A3386">
        <w:rPr>
          <w:rFonts w:ascii="Arial" w:hAnsi="Arial" w:cs="Arial"/>
          <w:iCs/>
        </w:rPr>
        <w:t xml:space="preserve">, δημιουργείται η υποχρέωση παρακολούθησης των συναλλαγών της αποθήκης σε </w:t>
      </w:r>
      <w:r w:rsidR="009A4BE3" w:rsidRPr="009A4BE3">
        <w:rPr>
          <w:rFonts w:ascii="Arial" w:hAnsi="Arial" w:cs="Arial"/>
          <w:b/>
          <w:iCs/>
        </w:rPr>
        <w:t>«</w:t>
      </w:r>
      <w:r w:rsidR="00457B22" w:rsidRPr="009A4BE3">
        <w:rPr>
          <w:rFonts w:ascii="Arial" w:hAnsi="Arial" w:cs="Arial"/>
          <w:b/>
          <w:iCs/>
        </w:rPr>
        <w:t>αρχείο</w:t>
      </w:r>
      <w:r w:rsidR="009A4BE3" w:rsidRPr="009A4BE3">
        <w:rPr>
          <w:rFonts w:ascii="Arial" w:hAnsi="Arial" w:cs="Arial"/>
          <w:b/>
          <w:iCs/>
        </w:rPr>
        <w:t xml:space="preserve"> ιδιόκτητων αποθεμάτων»</w:t>
      </w:r>
      <w:r w:rsidR="00457B22" w:rsidRPr="001A3386">
        <w:rPr>
          <w:rFonts w:ascii="Arial" w:hAnsi="Arial" w:cs="Arial"/>
          <w:iCs/>
        </w:rPr>
        <w:t xml:space="preserve">, αφού η οντότητα οφείλει να παρακολουθεί με κατάλληλες δικλίδες τα παραλαμβανόμενα και αποστελλόμενα αποθέματα, είτε έχουν τιμολογηθεί είτε όχι. Η εν λόγω υποχρέωση φαίνεται να απαιτεί την ποσοτική παρακολούθηση των αποθεμάτων ( δεν αναφέρεται η </w:t>
      </w:r>
      <w:r w:rsidR="001A3386">
        <w:rPr>
          <w:rFonts w:ascii="Arial" w:hAnsi="Arial" w:cs="Arial"/>
          <w:iCs/>
        </w:rPr>
        <w:t>με βάση τις αξίες</w:t>
      </w:r>
      <w:r w:rsidR="00457B22" w:rsidRPr="001A3386">
        <w:rPr>
          <w:rFonts w:ascii="Arial" w:hAnsi="Arial" w:cs="Arial"/>
          <w:iCs/>
        </w:rPr>
        <w:t xml:space="preserve"> παρακολούθηση των </w:t>
      </w:r>
      <w:r w:rsidR="00457B22" w:rsidRPr="00AF7A07">
        <w:rPr>
          <w:rFonts w:ascii="Arial" w:hAnsi="Arial" w:cs="Arial"/>
        </w:rPr>
        <w:t xml:space="preserve">αποθεμάτων). </w:t>
      </w:r>
    </w:p>
    <w:p w:rsidR="009A4BE3" w:rsidRPr="00AF7A07" w:rsidRDefault="00AF7A07" w:rsidP="00AF7A07">
      <w:pPr>
        <w:pStyle w:val="Default"/>
        <w:ind w:left="-851" w:right="-1050"/>
        <w:rPr>
          <w:rFonts w:ascii="Arial" w:hAnsi="Arial" w:cs="Arial"/>
        </w:rPr>
      </w:pPr>
      <w:r>
        <w:rPr>
          <w:rFonts w:ascii="Arial" w:hAnsi="Arial" w:cs="Arial"/>
        </w:rPr>
        <w:t xml:space="preserve">Αναλυτικότερα στο </w:t>
      </w:r>
      <w:r w:rsidRPr="00AF7A07">
        <w:rPr>
          <w:rFonts w:ascii="Arial" w:hAnsi="Arial" w:cs="Arial"/>
          <w:b/>
        </w:rPr>
        <w:t>α</w:t>
      </w:r>
      <w:r w:rsidR="009A4BE3" w:rsidRPr="00AF7A07">
        <w:rPr>
          <w:rFonts w:ascii="Arial" w:hAnsi="Arial" w:cs="Arial"/>
          <w:b/>
          <w:bCs/>
        </w:rPr>
        <w:t>ρχείο ιδιόκτητων αποθεμάτων</w:t>
      </w:r>
      <w:r w:rsidR="009A4BE3" w:rsidRPr="00AF7A07">
        <w:rPr>
          <w:rFonts w:ascii="Arial" w:hAnsi="Arial" w:cs="Arial"/>
          <w:i/>
          <w:iCs/>
        </w:rPr>
        <w:t xml:space="preserve"> </w:t>
      </w:r>
      <w:r w:rsidR="009A4BE3" w:rsidRPr="00AF7A07">
        <w:rPr>
          <w:rFonts w:ascii="Arial" w:hAnsi="Arial" w:cs="Arial"/>
          <w:iCs/>
        </w:rPr>
        <w:t>καταχωρίζονται:</w:t>
      </w:r>
    </w:p>
    <w:p w:rsidR="009A4BE3" w:rsidRPr="00AF7A07" w:rsidRDefault="009A4BE3" w:rsidP="00AF7A07">
      <w:pPr>
        <w:pStyle w:val="Default"/>
        <w:ind w:left="-851" w:right="-1050"/>
        <w:rPr>
          <w:rFonts w:ascii="Arial" w:hAnsi="Arial" w:cs="Arial"/>
        </w:rPr>
      </w:pPr>
      <w:r w:rsidRPr="00AF7A07">
        <w:rPr>
          <w:rFonts w:ascii="Arial" w:hAnsi="Arial" w:cs="Arial"/>
          <w:b/>
          <w:iCs/>
        </w:rPr>
        <w:t>α)</w:t>
      </w:r>
      <w:r w:rsidRPr="00AF7A07">
        <w:rPr>
          <w:rFonts w:ascii="Arial" w:hAnsi="Arial" w:cs="Arial"/>
          <w:iCs/>
        </w:rPr>
        <w:t xml:space="preserve"> Τα ποσοτικά δεδομένα της φυσικής απογραφής (σύντομη περιγραφή είδους, μονάδα μέτρησης και ποσότητα), κατά είδος και</w:t>
      </w:r>
      <w:r w:rsidRPr="00AF7A07">
        <w:rPr>
          <w:rFonts w:ascii="Arial" w:hAnsi="Arial" w:cs="Arial"/>
        </w:rPr>
        <w:t> </w:t>
      </w:r>
      <w:r w:rsidRPr="00AF7A07">
        <w:rPr>
          <w:rFonts w:ascii="Arial" w:hAnsi="Arial" w:cs="Arial"/>
          <w:b/>
          <w:bCs/>
        </w:rPr>
        <w:t>διακεκριμένα</w:t>
      </w:r>
      <w:r w:rsidRPr="00AF7A07">
        <w:rPr>
          <w:rFonts w:ascii="Arial" w:hAnsi="Arial" w:cs="Arial"/>
        </w:rPr>
        <w:t> </w:t>
      </w:r>
      <w:r w:rsidRPr="00AF7A07">
        <w:rPr>
          <w:rFonts w:ascii="Arial" w:hAnsi="Arial" w:cs="Arial"/>
          <w:iCs/>
        </w:rPr>
        <w:t>για κάθε αποθηκευτικό χώρο.</w:t>
      </w:r>
    </w:p>
    <w:p w:rsidR="009A4BE3" w:rsidRPr="00AF7A07" w:rsidRDefault="009A4BE3" w:rsidP="00AF7A07">
      <w:pPr>
        <w:pStyle w:val="Default"/>
        <w:ind w:left="-851" w:right="-1050"/>
        <w:rPr>
          <w:rFonts w:ascii="Arial" w:hAnsi="Arial" w:cs="Arial"/>
        </w:rPr>
      </w:pPr>
      <w:r w:rsidRPr="00AF7A07">
        <w:rPr>
          <w:rFonts w:ascii="Arial" w:hAnsi="Arial" w:cs="Arial"/>
          <w:b/>
          <w:iCs/>
        </w:rPr>
        <w:t>β)</w:t>
      </w:r>
      <w:r w:rsidRPr="00AF7A07">
        <w:rPr>
          <w:rFonts w:ascii="Arial" w:hAnsi="Arial" w:cs="Arial"/>
          <w:iCs/>
        </w:rPr>
        <w:t xml:space="preserve"> Η κατά μονάδα αξία επιμέτρησης, καθώς και η συνολική αξία επιμέτρησης του κάθε είδους (μέθοδοι αποτίμησης).</w:t>
      </w:r>
    </w:p>
    <w:p w:rsidR="009A4BE3" w:rsidRPr="00AF7A07" w:rsidRDefault="009A4BE3" w:rsidP="00AF7A07">
      <w:pPr>
        <w:pStyle w:val="Default"/>
        <w:ind w:left="-851" w:right="-1050"/>
        <w:rPr>
          <w:rFonts w:ascii="Arial" w:hAnsi="Arial" w:cs="Arial"/>
        </w:rPr>
      </w:pPr>
      <w:r w:rsidRPr="007A6BB3">
        <w:rPr>
          <w:rFonts w:ascii="Arial" w:hAnsi="Arial" w:cs="Arial"/>
          <w:b/>
          <w:iCs/>
        </w:rPr>
        <w:t>γ)</w:t>
      </w:r>
      <w:r w:rsidRPr="00AF7A07">
        <w:rPr>
          <w:rFonts w:ascii="Arial" w:hAnsi="Arial" w:cs="Arial"/>
          <w:iCs/>
        </w:rPr>
        <w:t xml:space="preserve"> Ο προσδιορισμός της ποσότητας των αποθεμάτων δύναται να γίνεται με έμμεσες τεχνικές που είναι αξιόπιστες και κατάλληλα τεκμηριωμένες.</w:t>
      </w:r>
    </w:p>
    <w:p w:rsidR="009A4BE3" w:rsidRPr="00AF7A07" w:rsidRDefault="009A4BE3" w:rsidP="00AF7A07">
      <w:pPr>
        <w:pStyle w:val="Default"/>
        <w:ind w:left="-851" w:right="-1050"/>
        <w:rPr>
          <w:rFonts w:ascii="Arial" w:hAnsi="Arial" w:cs="Arial"/>
        </w:rPr>
      </w:pPr>
      <w:r w:rsidRPr="007A6BB3">
        <w:rPr>
          <w:rFonts w:ascii="Arial" w:hAnsi="Arial" w:cs="Arial"/>
          <w:b/>
          <w:iCs/>
        </w:rPr>
        <w:t>δ)</w:t>
      </w:r>
      <w:r w:rsidRPr="00AF7A07">
        <w:rPr>
          <w:rFonts w:ascii="Arial" w:hAnsi="Arial" w:cs="Arial"/>
          <w:iCs/>
        </w:rPr>
        <w:t xml:space="preserve"> Αναλώσιμα υλικά αγαθά που δεν είναι σημαντικά μπορούν να μην απογράφονται και να κατευθύνονται προς τα αποτελέσματα.</w:t>
      </w:r>
    </w:p>
    <w:p w:rsidR="009A4BE3" w:rsidRPr="00AF7A07" w:rsidRDefault="007A6BB3" w:rsidP="00AF7A07">
      <w:pPr>
        <w:pStyle w:val="Default"/>
        <w:ind w:left="-851" w:right="-1050"/>
        <w:rPr>
          <w:rFonts w:ascii="Arial" w:hAnsi="Arial" w:cs="Arial"/>
        </w:rPr>
      </w:pPr>
      <w:r>
        <w:rPr>
          <w:rFonts w:ascii="Arial" w:hAnsi="Arial" w:cs="Arial"/>
          <w:iCs/>
        </w:rPr>
        <w:t>Συμπερασματικά, π</w:t>
      </w:r>
      <w:r w:rsidR="009A4BE3" w:rsidRPr="00AF7A07">
        <w:rPr>
          <w:rFonts w:ascii="Arial" w:hAnsi="Arial" w:cs="Arial"/>
          <w:iCs/>
        </w:rPr>
        <w:t>ρόκειται για το γνωστό Βιβλίο Απογραφών, στο μέτρο που αφορούσε τα αποθέματα.  </w:t>
      </w:r>
    </w:p>
    <w:p w:rsidR="00457B22" w:rsidRDefault="00457B22" w:rsidP="002D5C92">
      <w:pPr>
        <w:pStyle w:val="Default"/>
        <w:ind w:left="-851" w:right="-1050"/>
        <w:rPr>
          <w:rFonts w:ascii="Arial" w:hAnsi="Arial" w:cs="Arial"/>
        </w:rPr>
      </w:pPr>
    </w:p>
    <w:p w:rsidR="007A6BB3" w:rsidRPr="007A6BB3" w:rsidRDefault="007A6BB3" w:rsidP="002D5C92">
      <w:pPr>
        <w:pStyle w:val="Default"/>
        <w:ind w:left="-851" w:right="-1050"/>
        <w:rPr>
          <w:rFonts w:ascii="Arial" w:hAnsi="Arial" w:cs="Arial"/>
          <w:b/>
        </w:rPr>
      </w:pPr>
      <w:r w:rsidRPr="007A6BB3">
        <w:rPr>
          <w:rFonts w:ascii="Arial" w:hAnsi="Arial" w:cs="Arial"/>
          <w:b/>
        </w:rPr>
        <w:t>Υποχρέωση παρακολούθησης και τεκμηρίωσης των αποθεμάτων</w:t>
      </w:r>
    </w:p>
    <w:p w:rsidR="007A6BB3" w:rsidRPr="00AF7A07" w:rsidRDefault="007A6BB3" w:rsidP="002D5C92">
      <w:pPr>
        <w:pStyle w:val="Default"/>
        <w:ind w:left="-851" w:right="-1050"/>
        <w:rPr>
          <w:rFonts w:ascii="Arial" w:hAnsi="Arial" w:cs="Arial"/>
        </w:rPr>
      </w:pPr>
    </w:p>
    <w:p w:rsidR="00457B22" w:rsidRPr="001A3386" w:rsidRDefault="007A6BB3" w:rsidP="002D5C92">
      <w:pPr>
        <w:pStyle w:val="Default"/>
        <w:ind w:left="-851" w:right="-1050"/>
        <w:rPr>
          <w:rFonts w:ascii="Arial" w:hAnsi="Arial" w:cs="Arial"/>
        </w:rPr>
      </w:pPr>
      <w:r>
        <w:rPr>
          <w:rFonts w:ascii="Arial" w:hAnsi="Arial" w:cs="Arial"/>
        </w:rPr>
        <w:t>Σύμφωνα με τις διατάξεις του άρθρου 5 του Ν. 4308/2014, ε</w:t>
      </w:r>
      <w:r w:rsidR="00457B22" w:rsidRPr="001A3386">
        <w:rPr>
          <w:rFonts w:ascii="Arial" w:hAnsi="Arial" w:cs="Arial"/>
        </w:rPr>
        <w:t xml:space="preserve">ισάγεται η υποχρέωση παρακολούθησης και τεκμηρίωσης των αποθεμάτων που διακινούνται για οποιοδήποτε λόγο και όχι μόνο λόγω πώλησης, είτε με την έκδοση παραστατικού στοιχείου διακίνησης, είτε με τιμολόγιο, είτε με απόδειξη λιανικής πώλησης. </w:t>
      </w:r>
    </w:p>
    <w:p w:rsidR="00BA640C" w:rsidRDefault="00457B22" w:rsidP="002D5C92">
      <w:pPr>
        <w:pStyle w:val="Default"/>
        <w:ind w:left="-851" w:right="-1050"/>
        <w:rPr>
          <w:rFonts w:ascii="Arial" w:hAnsi="Arial" w:cs="Arial"/>
          <w:iCs/>
        </w:rPr>
      </w:pPr>
      <w:r w:rsidRPr="001A3386">
        <w:rPr>
          <w:rFonts w:ascii="Arial" w:hAnsi="Arial" w:cs="Arial"/>
          <w:iCs/>
        </w:rPr>
        <w:t>Το παραστατικό διακίνησης πρέπει να εκδίδεται πριν τη διακίνηση και να συνοδεύει τα αγαθά. Για το έτος 2014 η σχετική υποχρέωση αφορούσε μόνο στα μη τιμολογηθέντα αποθέματα, ενώ για το 2015 η υποχρέωση</w:t>
      </w:r>
      <w:r w:rsidR="00BA640C">
        <w:rPr>
          <w:rFonts w:ascii="Arial" w:hAnsi="Arial" w:cs="Arial"/>
          <w:iCs/>
        </w:rPr>
        <w:t xml:space="preserve"> </w:t>
      </w:r>
      <w:r w:rsidR="00BA640C" w:rsidRPr="00BA640C">
        <w:rPr>
          <w:rFonts w:ascii="Arial" w:hAnsi="Arial" w:cs="Arial"/>
          <w:iCs/>
        </w:rPr>
        <w:t xml:space="preserve">αφορά γενικά στα διακινούμενα αποθέματα, ανεξάρτητα αν πωλούνται ή όχι. </w:t>
      </w:r>
    </w:p>
    <w:p w:rsidR="00BA640C" w:rsidRPr="00BA640C" w:rsidRDefault="00BA640C" w:rsidP="007A6BB3">
      <w:pPr>
        <w:pStyle w:val="Default"/>
        <w:ind w:left="-851" w:right="-1050"/>
        <w:rPr>
          <w:rFonts w:ascii="Arial" w:hAnsi="Arial" w:cs="Arial"/>
          <w:iCs/>
        </w:rPr>
      </w:pPr>
      <w:r w:rsidRPr="00BA640C">
        <w:rPr>
          <w:rFonts w:ascii="Arial" w:hAnsi="Arial" w:cs="Arial"/>
          <w:iCs/>
        </w:rPr>
        <w:t>Με την ΠΟΛ.1003/2014 τίθενται ορισμένες απαλλαγές σχετικές με την έκδοση του παραστατικού διακίνησης, όπως οι διακινήσεις μεταξύ επαγγελματικών εγκαταστάσεων στον ίδιο ή συνεχόμενο χώρο, διακίνηση παγίων (εφόσον δεν διακινούνται με σκοπό την πώληση) και ανταλλακτικών μεταξύ των εγκαταστάσεων της οντότητας.</w:t>
      </w:r>
      <w:r w:rsidR="009A4BE3">
        <w:rPr>
          <w:rStyle w:val="apple-converted-space"/>
          <w:rFonts w:ascii="Tahoma" w:hAnsi="Tahoma" w:cs="Tahoma"/>
          <w:i/>
          <w:iCs/>
          <w:color w:val="666666"/>
          <w:sz w:val="21"/>
          <w:szCs w:val="21"/>
          <w:bdr w:val="none" w:sz="0" w:space="0" w:color="auto" w:frame="1"/>
        </w:rPr>
        <w:t> </w:t>
      </w:r>
      <w:r w:rsidRPr="00BA640C">
        <w:rPr>
          <w:rFonts w:ascii="Arial" w:hAnsi="Arial" w:cs="Arial"/>
          <w:iCs/>
        </w:rPr>
        <w:t xml:space="preserve"> </w:t>
      </w:r>
    </w:p>
    <w:p w:rsidR="00BA640C" w:rsidRDefault="00BA640C" w:rsidP="002D5C92">
      <w:pPr>
        <w:autoSpaceDE w:val="0"/>
        <w:autoSpaceDN w:val="0"/>
        <w:adjustRightInd w:val="0"/>
        <w:spacing w:after="0" w:line="240" w:lineRule="auto"/>
        <w:ind w:left="-851" w:right="-1050"/>
        <w:rPr>
          <w:rFonts w:ascii="Arial" w:hAnsi="Arial" w:cs="Arial"/>
          <w:iCs/>
          <w:color w:val="000000"/>
          <w:sz w:val="24"/>
          <w:szCs w:val="24"/>
        </w:rPr>
      </w:pPr>
    </w:p>
    <w:p w:rsidR="006534E1" w:rsidRPr="006534E1" w:rsidRDefault="0068771A" w:rsidP="002D5C92">
      <w:pPr>
        <w:autoSpaceDE w:val="0"/>
        <w:autoSpaceDN w:val="0"/>
        <w:adjustRightInd w:val="0"/>
        <w:spacing w:after="0" w:line="240" w:lineRule="auto"/>
        <w:ind w:left="-851" w:right="-1050"/>
        <w:rPr>
          <w:rFonts w:ascii="Arial" w:hAnsi="Arial" w:cs="Arial"/>
          <w:b/>
          <w:iCs/>
          <w:color w:val="000000"/>
          <w:sz w:val="24"/>
          <w:szCs w:val="24"/>
        </w:rPr>
      </w:pPr>
      <w:r>
        <w:rPr>
          <w:rFonts w:ascii="Arial" w:hAnsi="Arial" w:cs="Arial"/>
          <w:b/>
          <w:iCs/>
          <w:color w:val="000000"/>
          <w:sz w:val="24"/>
          <w:szCs w:val="24"/>
        </w:rPr>
        <w:t>Χρόνος π</w:t>
      </w:r>
      <w:r w:rsidR="006534E1" w:rsidRPr="006534E1">
        <w:rPr>
          <w:rFonts w:ascii="Arial" w:hAnsi="Arial" w:cs="Arial"/>
          <w:b/>
          <w:iCs/>
          <w:color w:val="000000"/>
          <w:sz w:val="24"/>
          <w:szCs w:val="24"/>
        </w:rPr>
        <w:t>ροσδιορισμ</w:t>
      </w:r>
      <w:r>
        <w:rPr>
          <w:rFonts w:ascii="Arial" w:hAnsi="Arial" w:cs="Arial"/>
          <w:b/>
          <w:iCs/>
          <w:color w:val="000000"/>
          <w:sz w:val="24"/>
          <w:szCs w:val="24"/>
        </w:rPr>
        <w:t>ού</w:t>
      </w:r>
      <w:r w:rsidR="006534E1" w:rsidRPr="006534E1">
        <w:rPr>
          <w:rFonts w:ascii="Arial" w:hAnsi="Arial" w:cs="Arial"/>
          <w:b/>
          <w:iCs/>
          <w:color w:val="000000"/>
          <w:sz w:val="24"/>
          <w:szCs w:val="24"/>
        </w:rPr>
        <w:t xml:space="preserve"> της ποσότητας των αποθεμάτων</w:t>
      </w:r>
      <w:r>
        <w:rPr>
          <w:rFonts w:ascii="Arial" w:hAnsi="Arial" w:cs="Arial"/>
          <w:b/>
          <w:iCs/>
          <w:color w:val="000000"/>
          <w:sz w:val="24"/>
          <w:szCs w:val="24"/>
        </w:rPr>
        <w:t xml:space="preserve"> και φύλαξης αρχείου</w:t>
      </w:r>
    </w:p>
    <w:p w:rsidR="006534E1" w:rsidRDefault="006534E1" w:rsidP="002D5C92">
      <w:pPr>
        <w:autoSpaceDE w:val="0"/>
        <w:autoSpaceDN w:val="0"/>
        <w:adjustRightInd w:val="0"/>
        <w:spacing w:after="0" w:line="240" w:lineRule="auto"/>
        <w:ind w:left="-851" w:right="-1050"/>
        <w:rPr>
          <w:rFonts w:ascii="Arial" w:hAnsi="Arial" w:cs="Arial"/>
          <w:iCs/>
          <w:color w:val="000000"/>
          <w:sz w:val="24"/>
          <w:szCs w:val="24"/>
        </w:rPr>
      </w:pPr>
    </w:p>
    <w:p w:rsidR="00BA640C" w:rsidRPr="00BA640C" w:rsidRDefault="007A6BB3" w:rsidP="002D5C92">
      <w:pPr>
        <w:autoSpaceDE w:val="0"/>
        <w:autoSpaceDN w:val="0"/>
        <w:adjustRightInd w:val="0"/>
        <w:spacing w:after="0" w:line="240" w:lineRule="auto"/>
        <w:ind w:left="-851" w:right="-1050"/>
        <w:rPr>
          <w:rFonts w:ascii="Arial" w:hAnsi="Arial" w:cs="Arial"/>
          <w:iCs/>
          <w:color w:val="000000"/>
          <w:sz w:val="24"/>
          <w:szCs w:val="24"/>
        </w:rPr>
      </w:pPr>
      <w:r>
        <w:rPr>
          <w:rFonts w:ascii="Arial" w:hAnsi="Arial" w:cs="Arial"/>
          <w:iCs/>
          <w:color w:val="000000"/>
          <w:sz w:val="24"/>
          <w:szCs w:val="24"/>
        </w:rPr>
        <w:t>Από τις διατάξεις του άρθρου 6 του Ν. 4308/2014, π</w:t>
      </w:r>
      <w:r w:rsidR="00BA640C" w:rsidRPr="00BA640C">
        <w:rPr>
          <w:rFonts w:ascii="Arial" w:hAnsi="Arial" w:cs="Arial"/>
          <w:iCs/>
          <w:color w:val="000000"/>
          <w:sz w:val="24"/>
          <w:szCs w:val="24"/>
        </w:rPr>
        <w:t xml:space="preserve">ροκύπτει ότι, ο προσδιορισμός της ποσότητας των αποθεμάτων </w:t>
      </w:r>
      <w:r w:rsidR="00BA640C">
        <w:rPr>
          <w:rFonts w:ascii="Arial" w:hAnsi="Arial" w:cs="Arial"/>
          <w:iCs/>
          <w:color w:val="000000"/>
          <w:sz w:val="24"/>
          <w:szCs w:val="24"/>
        </w:rPr>
        <w:t xml:space="preserve">(φυσική απογραφή), </w:t>
      </w:r>
      <w:r w:rsidR="00BA640C" w:rsidRPr="00BA640C">
        <w:rPr>
          <w:rFonts w:ascii="Arial" w:hAnsi="Arial" w:cs="Arial"/>
          <w:iCs/>
          <w:color w:val="000000"/>
          <w:sz w:val="24"/>
          <w:szCs w:val="24"/>
        </w:rPr>
        <w:t xml:space="preserve">πρέπει να γίνεται σε κατάλληλο χρόνο που διασφαλίζει την αξιοπιστία των δεδομένων σε σχέση με την ημερομηνία αναφοράς των χρηματοοικονομικών καταστάσεων της οντότητας (και όχι απαραίτητα στο τέλος της διαχειριστικής χρήσης). Ο προσδιορισμός της ποσότητας των αποθεμάτων δύναται να γίνεται με έμμεσες τεχνικές που είναι αξιόπιστες και κατάλληλα τεκμηριωμένες. </w:t>
      </w:r>
    </w:p>
    <w:p w:rsidR="00F031FC" w:rsidRPr="00F031FC" w:rsidRDefault="00BA640C" w:rsidP="002D5C92">
      <w:pPr>
        <w:pStyle w:val="Default"/>
        <w:ind w:left="-851" w:right="-1050"/>
        <w:rPr>
          <w:rFonts w:ascii="Arial" w:hAnsi="Arial" w:cs="Arial"/>
          <w:iCs/>
        </w:rPr>
      </w:pPr>
      <w:r w:rsidRPr="00BA640C">
        <w:rPr>
          <w:rFonts w:ascii="Arial" w:hAnsi="Arial" w:cs="Arial"/>
          <w:iCs/>
        </w:rPr>
        <w:t>Ο χρόνος αυτός μπορεί να απέχει από το τέλος της ημερομηνίας αναφοράς, ιδίως όταν η οντότητα τηρεί βιβλίο αποθήκης. Η οντότητα είναι υποχρεωμένη να τεκμηριώνει με αξιόπιστο τρόπο τις ποσότητες της απογραφής.</w:t>
      </w:r>
      <w:bookmarkStart w:id="0" w:name="_GoBack"/>
      <w:bookmarkEnd w:id="0"/>
    </w:p>
    <w:p w:rsidR="00457B22" w:rsidRPr="00F031FC" w:rsidRDefault="00457B22" w:rsidP="002D5C92">
      <w:pPr>
        <w:pStyle w:val="Default"/>
        <w:ind w:left="-851" w:right="-1050"/>
        <w:rPr>
          <w:rFonts w:ascii="Arial" w:hAnsi="Arial" w:cs="Arial"/>
          <w:iCs/>
        </w:rPr>
      </w:pPr>
      <w:r w:rsidRPr="00F031FC">
        <w:rPr>
          <w:rFonts w:ascii="Arial" w:hAnsi="Arial" w:cs="Arial"/>
          <w:iCs/>
        </w:rPr>
        <w:lastRenderedPageBreak/>
        <w:t xml:space="preserve">Είναι απαραίτητο να προκύπτει τόσο η αρχική καταχώριση, όσο και η ημερομηνία που έγινε η αλλαγή, όταν πραγματοποιούνται διορθωτικές εγγραφές στα λογιστικά αρχεία (βιβλία) μετά την οριστικοποίηση των εγγραφών. </w:t>
      </w:r>
    </w:p>
    <w:p w:rsidR="00457B22" w:rsidRPr="00F031FC" w:rsidRDefault="00457B22" w:rsidP="002D5C92">
      <w:pPr>
        <w:pStyle w:val="Default"/>
        <w:ind w:left="-851" w:right="-1050"/>
        <w:rPr>
          <w:rFonts w:ascii="Arial" w:hAnsi="Arial" w:cs="Arial"/>
          <w:iCs/>
        </w:rPr>
      </w:pPr>
      <w:r w:rsidRPr="00F031FC">
        <w:rPr>
          <w:rFonts w:ascii="Arial" w:hAnsi="Arial" w:cs="Arial"/>
          <w:iCs/>
        </w:rPr>
        <w:t xml:space="preserve">Δεν ορίζεται συγκεκριμένος τόπος τήρησης και διαφύλαξης των αρχείων και των στοιχείων. Αυτά μπορούν να τηρούνται και να φυλάσσονται οπουδήποτε, ακόμη και κατά τη διάρκεια της περιόδου στην οποία αφορούν, υπό την προϋπόθεση ότι διατίθενται στον έλεγχο, εντός εύλογου χρόνου, εφόσον τους ζητηθεί. </w:t>
      </w:r>
    </w:p>
    <w:p w:rsidR="00457B22" w:rsidRPr="00F031FC" w:rsidRDefault="00457B22" w:rsidP="002D5C92">
      <w:pPr>
        <w:pStyle w:val="Default"/>
        <w:ind w:left="-851" w:right="-1050"/>
        <w:rPr>
          <w:rFonts w:ascii="Arial" w:hAnsi="Arial" w:cs="Arial"/>
          <w:iCs/>
        </w:rPr>
      </w:pPr>
      <w:r w:rsidRPr="00F031FC">
        <w:rPr>
          <w:rFonts w:ascii="Arial" w:hAnsi="Arial" w:cs="Arial"/>
          <w:iCs/>
        </w:rPr>
        <w:t xml:space="preserve">Ισχύει 5ετής υποχρέωση (από τη λήξη της εκάστοτε διαχειριστικής περιόδου) διαφύλαξης σε οποιαδήποτε μορφή του συνόλου των λογιστικών αρχείων, τα οποία πρέπει να τηρεί κάθε οντότητα, εκτός εάν προβλέπεται διαφορετικός χρόνος φύλαξης από διατάξεις άλλων νόμων. </w:t>
      </w:r>
    </w:p>
    <w:p w:rsidR="00457B22" w:rsidRDefault="00457B22" w:rsidP="002D5C92">
      <w:pPr>
        <w:ind w:left="-851" w:right="-1050"/>
        <w:rPr>
          <w:i/>
          <w:iCs/>
          <w:sz w:val="20"/>
          <w:szCs w:val="20"/>
        </w:rPr>
      </w:pPr>
      <w:r w:rsidRPr="00F031FC">
        <w:rPr>
          <w:rFonts w:ascii="Arial" w:hAnsi="Arial" w:cs="Arial"/>
          <w:iCs/>
          <w:color w:val="000000"/>
          <w:sz w:val="24"/>
          <w:szCs w:val="24"/>
        </w:rPr>
        <w:t>Όσον αφορά στο χρόνο διαφύλαξης θα πρέπει να λαμβάνονται υπόψη και οι διατάξεις λοιπών νομοθετημάτων (και ιδίως των φορολογικών) σχετικών με την παραγραφή.</w:t>
      </w:r>
    </w:p>
    <w:p w:rsidR="004F3215" w:rsidRDefault="004F3215">
      <w:pPr>
        <w:ind w:left="-851" w:right="-1050"/>
        <w:rPr>
          <w:i/>
          <w:iCs/>
          <w:sz w:val="20"/>
          <w:szCs w:val="20"/>
        </w:rPr>
      </w:pPr>
    </w:p>
    <w:sectPr w:rsidR="004F321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Georgia">
    <w:altName w:val="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B22"/>
    <w:rsid w:val="001A3386"/>
    <w:rsid w:val="002D5C92"/>
    <w:rsid w:val="00383524"/>
    <w:rsid w:val="00457B22"/>
    <w:rsid w:val="004F3215"/>
    <w:rsid w:val="00647AB8"/>
    <w:rsid w:val="006534E1"/>
    <w:rsid w:val="0068771A"/>
    <w:rsid w:val="007A6BB3"/>
    <w:rsid w:val="009A4BE3"/>
    <w:rsid w:val="00AF7A07"/>
    <w:rsid w:val="00BA640C"/>
    <w:rsid w:val="00C04707"/>
    <w:rsid w:val="00F031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57B22"/>
    <w:pPr>
      <w:autoSpaceDE w:val="0"/>
      <w:autoSpaceDN w:val="0"/>
      <w:adjustRightInd w:val="0"/>
      <w:spacing w:after="0" w:line="240" w:lineRule="auto"/>
    </w:pPr>
    <w:rPr>
      <w:rFonts w:ascii="Georgia" w:hAnsi="Georgia" w:cs="Georgia"/>
      <w:color w:val="000000"/>
      <w:sz w:val="24"/>
      <w:szCs w:val="24"/>
    </w:rPr>
  </w:style>
  <w:style w:type="paragraph" w:styleId="Web">
    <w:name w:val="Normal (Web)"/>
    <w:basedOn w:val="a"/>
    <w:uiPriority w:val="99"/>
    <w:unhideWhenUsed/>
    <w:rsid w:val="009A4BE3"/>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Emphasis"/>
    <w:basedOn w:val="a0"/>
    <w:uiPriority w:val="20"/>
    <w:qFormat/>
    <w:rsid w:val="009A4BE3"/>
    <w:rPr>
      <w:i/>
      <w:iCs/>
    </w:rPr>
  </w:style>
  <w:style w:type="character" w:customStyle="1" w:styleId="apple-converted-space">
    <w:name w:val="apple-converted-space"/>
    <w:basedOn w:val="a0"/>
    <w:rsid w:val="009A4BE3"/>
  </w:style>
  <w:style w:type="character" w:styleId="a4">
    <w:name w:val="Strong"/>
    <w:basedOn w:val="a0"/>
    <w:uiPriority w:val="22"/>
    <w:qFormat/>
    <w:rsid w:val="009A4B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57B22"/>
    <w:pPr>
      <w:autoSpaceDE w:val="0"/>
      <w:autoSpaceDN w:val="0"/>
      <w:adjustRightInd w:val="0"/>
      <w:spacing w:after="0" w:line="240" w:lineRule="auto"/>
    </w:pPr>
    <w:rPr>
      <w:rFonts w:ascii="Georgia" w:hAnsi="Georgia" w:cs="Georgia"/>
      <w:color w:val="000000"/>
      <w:sz w:val="24"/>
      <w:szCs w:val="24"/>
    </w:rPr>
  </w:style>
  <w:style w:type="paragraph" w:styleId="Web">
    <w:name w:val="Normal (Web)"/>
    <w:basedOn w:val="a"/>
    <w:uiPriority w:val="99"/>
    <w:unhideWhenUsed/>
    <w:rsid w:val="009A4BE3"/>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Emphasis"/>
    <w:basedOn w:val="a0"/>
    <w:uiPriority w:val="20"/>
    <w:qFormat/>
    <w:rsid w:val="009A4BE3"/>
    <w:rPr>
      <w:i/>
      <w:iCs/>
    </w:rPr>
  </w:style>
  <w:style w:type="character" w:customStyle="1" w:styleId="apple-converted-space">
    <w:name w:val="apple-converted-space"/>
    <w:basedOn w:val="a0"/>
    <w:rsid w:val="009A4BE3"/>
  </w:style>
  <w:style w:type="character" w:styleId="a4">
    <w:name w:val="Strong"/>
    <w:basedOn w:val="a0"/>
    <w:uiPriority w:val="22"/>
    <w:qFormat/>
    <w:rsid w:val="009A4B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622996">
      <w:bodyDiv w:val="1"/>
      <w:marLeft w:val="0"/>
      <w:marRight w:val="0"/>
      <w:marTop w:val="0"/>
      <w:marBottom w:val="0"/>
      <w:divBdr>
        <w:top w:val="none" w:sz="0" w:space="0" w:color="auto"/>
        <w:left w:val="none" w:sz="0" w:space="0" w:color="auto"/>
        <w:bottom w:val="none" w:sz="0" w:space="0" w:color="auto"/>
        <w:right w:val="none" w:sz="0" w:space="0" w:color="auto"/>
      </w:divBdr>
    </w:div>
    <w:div w:id="11731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614</Words>
  <Characters>3319</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12</cp:revision>
  <dcterms:created xsi:type="dcterms:W3CDTF">2017-02-05T09:00:00Z</dcterms:created>
  <dcterms:modified xsi:type="dcterms:W3CDTF">2017-02-12T10:30:00Z</dcterms:modified>
</cp:coreProperties>
</file>